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93D2" w14:textId="001A49F5" w:rsidR="00D4123C" w:rsidRPr="000D55C0" w:rsidRDefault="000D55C0" w:rsidP="000D55C0">
      <w:pPr>
        <w:jc w:val="center"/>
        <w:rPr>
          <w:rFonts w:cs="Arial"/>
          <w:b/>
          <w:bCs/>
          <w:sz w:val="24"/>
          <w:szCs w:val="24"/>
        </w:rPr>
      </w:pPr>
      <w:r w:rsidRPr="000D55C0">
        <w:rPr>
          <w:b/>
          <w:bCs/>
          <w:sz w:val="24"/>
          <w:szCs w:val="24"/>
        </w:rPr>
        <w:t>Railroad Agreement Language for Federal-aid Projects involving Railroads</w:t>
      </w:r>
    </w:p>
    <w:p w14:paraId="5B9BD872" w14:textId="710DB28F" w:rsidR="00D4123C" w:rsidRDefault="00D4123C"/>
    <w:p w14:paraId="53E2952C" w14:textId="77777777" w:rsidR="000D55C0" w:rsidRDefault="000D55C0" w:rsidP="000D55C0">
      <w:pPr>
        <w:rPr>
          <w:rFonts w:cs="Arial"/>
          <w:bCs/>
        </w:rPr>
      </w:pPr>
      <w:r>
        <w:rPr>
          <w:rFonts w:cs="Arial"/>
          <w:bCs/>
        </w:rPr>
        <w:t xml:space="preserve">A detailed agreement will need to be negotiated between the railroad and the LPA.  Most railroads have standardized agreements that may be used for this purpose.  Regardless of the </w:t>
      </w:r>
      <w:proofErr w:type="gramStart"/>
      <w:r>
        <w:rPr>
          <w:rFonts w:cs="Arial"/>
          <w:bCs/>
        </w:rPr>
        <w:t>particular form</w:t>
      </w:r>
      <w:proofErr w:type="gramEnd"/>
      <w:r>
        <w:rPr>
          <w:rFonts w:cs="Arial"/>
          <w:bCs/>
        </w:rPr>
        <w:t xml:space="preserve"> of agreement used, all railroad agreements for projects that require work on railroad right-of-way or adjustments to railroad facilities must provide the following, where applicable:</w:t>
      </w:r>
    </w:p>
    <w:p w14:paraId="3681AE66" w14:textId="77777777" w:rsidR="000D55C0" w:rsidRDefault="000D55C0" w:rsidP="000D55C0">
      <w:pPr>
        <w:rPr>
          <w:rFonts w:cs="Arial"/>
          <w:bCs/>
        </w:rPr>
      </w:pPr>
    </w:p>
    <w:p w14:paraId="280C4ABC" w14:textId="77777777" w:rsidR="000D55C0" w:rsidRDefault="000D55C0" w:rsidP="000D55C0">
      <w:pPr>
        <w:numPr>
          <w:ilvl w:val="0"/>
          <w:numId w:val="46"/>
        </w:numPr>
        <w:rPr>
          <w:rFonts w:cs="Arial"/>
          <w:bCs/>
        </w:rPr>
      </w:pPr>
      <w:r>
        <w:rPr>
          <w:rFonts w:cs="Arial"/>
          <w:bCs/>
        </w:rPr>
        <w:t xml:space="preserve">The provisions of </w:t>
      </w:r>
      <w:r w:rsidRPr="00D9220E">
        <w:rPr>
          <w:rFonts w:cs="Arial"/>
          <w:bCs/>
        </w:rPr>
        <w:t>23 CFR 646, Subpart B</w:t>
      </w:r>
      <w:r>
        <w:rPr>
          <w:rFonts w:cs="Arial"/>
          <w:bCs/>
        </w:rPr>
        <w:t xml:space="preserve">, and </w:t>
      </w:r>
      <w:r w:rsidRPr="00D9220E">
        <w:rPr>
          <w:rFonts w:cs="Arial"/>
          <w:bCs/>
        </w:rPr>
        <w:t>23 CFR 140, Subpart I</w:t>
      </w:r>
      <w:r>
        <w:rPr>
          <w:rFonts w:cs="Arial"/>
          <w:bCs/>
        </w:rPr>
        <w:t>, incorporated by reference.</w:t>
      </w:r>
    </w:p>
    <w:p w14:paraId="7A9BD34D" w14:textId="77777777" w:rsidR="000D55C0" w:rsidRDefault="000D55C0" w:rsidP="000D55C0">
      <w:pPr>
        <w:rPr>
          <w:rFonts w:cs="Arial"/>
          <w:bCs/>
        </w:rPr>
      </w:pPr>
    </w:p>
    <w:p w14:paraId="47063C57" w14:textId="77777777" w:rsidR="000D55C0" w:rsidRDefault="000D55C0" w:rsidP="000D55C0">
      <w:pPr>
        <w:numPr>
          <w:ilvl w:val="0"/>
          <w:numId w:val="46"/>
        </w:numPr>
        <w:rPr>
          <w:rFonts w:cs="Arial"/>
          <w:bCs/>
        </w:rPr>
      </w:pPr>
      <w:r>
        <w:rPr>
          <w:rFonts w:cs="Arial"/>
          <w:bCs/>
        </w:rPr>
        <w:t>A detailed statement of work to be completed by each party.</w:t>
      </w:r>
    </w:p>
    <w:p w14:paraId="5545A9C0" w14:textId="77777777" w:rsidR="000D55C0" w:rsidRDefault="000D55C0" w:rsidP="000D55C0">
      <w:pPr>
        <w:rPr>
          <w:rFonts w:cs="Arial"/>
          <w:bCs/>
        </w:rPr>
      </w:pPr>
    </w:p>
    <w:p w14:paraId="6C8E03EA" w14:textId="77777777" w:rsidR="000D55C0" w:rsidRDefault="000D55C0" w:rsidP="000D55C0">
      <w:pPr>
        <w:numPr>
          <w:ilvl w:val="0"/>
          <w:numId w:val="46"/>
        </w:numPr>
        <w:rPr>
          <w:rFonts w:cs="Arial"/>
          <w:bCs/>
        </w:rPr>
      </w:pPr>
      <w:r>
        <w:rPr>
          <w:rFonts w:cs="Arial"/>
          <w:bCs/>
        </w:rPr>
        <w:t>The method of payment for railroad costs.  The preferred method of payment is based on actual costs.  However, subject to approval by the Iowa DOT, the lump-sum method may be used for work done by railroad forces for any of the following:</w:t>
      </w:r>
    </w:p>
    <w:p w14:paraId="1F3907B2" w14:textId="77777777" w:rsidR="000D55C0" w:rsidRDefault="000D55C0" w:rsidP="000D55C0">
      <w:pPr>
        <w:numPr>
          <w:ilvl w:val="1"/>
          <w:numId w:val="46"/>
        </w:numPr>
        <w:tabs>
          <w:tab w:val="clear" w:pos="1440"/>
          <w:tab w:val="num" w:pos="1080"/>
        </w:tabs>
        <w:ind w:left="1080"/>
        <w:rPr>
          <w:rFonts w:cs="Arial"/>
          <w:bCs/>
        </w:rPr>
      </w:pPr>
      <w:r>
        <w:rPr>
          <w:rFonts w:cs="Arial"/>
          <w:bCs/>
        </w:rPr>
        <w:t xml:space="preserve">installation or improvement of grade crossing warning devices and / or grade crossing </w:t>
      </w:r>
      <w:proofErr w:type="gramStart"/>
      <w:r>
        <w:rPr>
          <w:rFonts w:cs="Arial"/>
          <w:bCs/>
        </w:rPr>
        <w:t>surfaces;</w:t>
      </w:r>
      <w:proofErr w:type="gramEnd"/>
    </w:p>
    <w:p w14:paraId="69E8E97D" w14:textId="77777777" w:rsidR="000D55C0" w:rsidRDefault="000D55C0" w:rsidP="000D55C0">
      <w:pPr>
        <w:numPr>
          <w:ilvl w:val="1"/>
          <w:numId w:val="46"/>
        </w:numPr>
        <w:tabs>
          <w:tab w:val="clear" w:pos="1440"/>
          <w:tab w:val="num" w:pos="1080"/>
        </w:tabs>
        <w:ind w:left="1080"/>
        <w:rPr>
          <w:rFonts w:cs="Arial"/>
          <w:bCs/>
        </w:rPr>
      </w:pPr>
      <w:r>
        <w:rPr>
          <w:rFonts w:cs="Arial"/>
          <w:bCs/>
        </w:rPr>
        <w:t xml:space="preserve">any eligible railroad work where the estimate cost to the LPA does not exceed $100,000; or </w:t>
      </w:r>
    </w:p>
    <w:p w14:paraId="27525899" w14:textId="77777777" w:rsidR="000D55C0" w:rsidRDefault="000D55C0" w:rsidP="000D55C0">
      <w:pPr>
        <w:numPr>
          <w:ilvl w:val="1"/>
          <w:numId w:val="46"/>
        </w:numPr>
        <w:tabs>
          <w:tab w:val="clear" w:pos="1440"/>
          <w:tab w:val="num" w:pos="1080"/>
        </w:tabs>
        <w:ind w:left="1080"/>
        <w:rPr>
          <w:rFonts w:cs="Arial"/>
          <w:bCs/>
        </w:rPr>
      </w:pPr>
      <w:r>
        <w:rPr>
          <w:rFonts w:cs="Arial"/>
          <w:bCs/>
        </w:rPr>
        <w:t xml:space="preserve">when the Iowa DOT </w:t>
      </w:r>
      <w:proofErr w:type="gramStart"/>
      <w:r>
        <w:rPr>
          <w:rFonts w:cs="Arial"/>
          <w:bCs/>
        </w:rPr>
        <w:t>concurs</w:t>
      </w:r>
      <w:proofErr w:type="gramEnd"/>
      <w:r>
        <w:rPr>
          <w:rFonts w:cs="Arial"/>
          <w:bCs/>
        </w:rPr>
        <w:t xml:space="preserve"> it is in the public’s best interest to use this method.  </w:t>
      </w:r>
    </w:p>
    <w:p w14:paraId="1D1DA68C" w14:textId="77777777" w:rsidR="000D55C0" w:rsidRDefault="000D55C0" w:rsidP="000D55C0">
      <w:pPr>
        <w:ind w:left="360"/>
        <w:rPr>
          <w:rFonts w:cs="Arial"/>
          <w:bCs/>
        </w:rPr>
      </w:pPr>
    </w:p>
    <w:p w14:paraId="158B0ED8" w14:textId="77777777" w:rsidR="000D55C0" w:rsidRDefault="000D55C0" w:rsidP="000D55C0">
      <w:pPr>
        <w:ind w:left="720"/>
        <w:rPr>
          <w:rFonts w:cs="Arial"/>
          <w:bCs/>
        </w:rPr>
      </w:pPr>
      <w:r>
        <w:rPr>
          <w:rFonts w:cs="Arial"/>
          <w:bCs/>
        </w:rPr>
        <w:t xml:space="preserve">Note:  Usually, the Iowa DOT will not approve payment on a lump-sum basis because the historical cost data necessary to justify use of a lump-sum method is not available.  If a lump-sum method is used, the Iowa DOT will require periodic reviews of the methods and cost data used by the railroad to develop lump-sum estimates.  </w:t>
      </w:r>
    </w:p>
    <w:p w14:paraId="12C540F9" w14:textId="77777777" w:rsidR="000D55C0" w:rsidRDefault="000D55C0" w:rsidP="000D55C0">
      <w:pPr>
        <w:rPr>
          <w:rFonts w:cs="Arial"/>
          <w:bCs/>
        </w:rPr>
      </w:pPr>
    </w:p>
    <w:p w14:paraId="345A5564" w14:textId="77777777" w:rsidR="000D55C0" w:rsidRDefault="000D55C0" w:rsidP="000D55C0">
      <w:pPr>
        <w:numPr>
          <w:ilvl w:val="0"/>
          <w:numId w:val="46"/>
        </w:numPr>
        <w:rPr>
          <w:rFonts w:cs="Arial"/>
          <w:bCs/>
        </w:rPr>
      </w:pPr>
      <w:r>
        <w:rPr>
          <w:rFonts w:cs="Arial"/>
          <w:bCs/>
        </w:rPr>
        <w:t>If the project is not a safety project to eliminate a grade crossing, the extent to which the railroad is obligated to move or adjust its facilities at its own expense.</w:t>
      </w:r>
    </w:p>
    <w:p w14:paraId="088ABB5E" w14:textId="77777777" w:rsidR="000D55C0" w:rsidRDefault="000D55C0" w:rsidP="000D55C0">
      <w:pPr>
        <w:rPr>
          <w:rFonts w:cs="Arial"/>
          <w:bCs/>
        </w:rPr>
      </w:pPr>
    </w:p>
    <w:p w14:paraId="4D42B70D" w14:textId="77777777" w:rsidR="000D55C0" w:rsidRDefault="000D55C0" w:rsidP="000D55C0">
      <w:pPr>
        <w:numPr>
          <w:ilvl w:val="0"/>
          <w:numId w:val="46"/>
        </w:numPr>
        <w:rPr>
          <w:rFonts w:cs="Arial"/>
          <w:bCs/>
        </w:rPr>
      </w:pPr>
      <w:r>
        <w:rPr>
          <w:rFonts w:cs="Arial"/>
          <w:bCs/>
        </w:rPr>
        <w:t>The railroad’s share of project costs.</w:t>
      </w:r>
    </w:p>
    <w:p w14:paraId="13754684" w14:textId="77777777" w:rsidR="000D55C0" w:rsidRDefault="000D55C0" w:rsidP="000D55C0">
      <w:pPr>
        <w:numPr>
          <w:ilvl w:val="1"/>
          <w:numId w:val="46"/>
        </w:numPr>
        <w:tabs>
          <w:tab w:val="clear" w:pos="1440"/>
          <w:tab w:val="num" w:pos="1080"/>
        </w:tabs>
        <w:ind w:left="1080"/>
        <w:rPr>
          <w:rFonts w:cs="Arial"/>
          <w:bCs/>
        </w:rPr>
      </w:pPr>
      <w:r>
        <w:rPr>
          <w:rFonts w:cs="Arial"/>
          <w:bCs/>
        </w:rPr>
        <w:t xml:space="preserve">In general, the railroad is not required to share in the project costs when there is no ascertainable net benefit to the railroad.  </w:t>
      </w:r>
    </w:p>
    <w:p w14:paraId="151EF2CC" w14:textId="77777777" w:rsidR="000D55C0" w:rsidRDefault="000D55C0" w:rsidP="000D55C0">
      <w:pPr>
        <w:numPr>
          <w:ilvl w:val="1"/>
          <w:numId w:val="46"/>
        </w:numPr>
        <w:tabs>
          <w:tab w:val="clear" w:pos="1440"/>
          <w:tab w:val="num" w:pos="1080"/>
        </w:tabs>
        <w:ind w:left="1080"/>
        <w:rPr>
          <w:rFonts w:cs="Arial"/>
          <w:bCs/>
        </w:rPr>
      </w:pPr>
      <w:r>
        <w:rPr>
          <w:rFonts w:cs="Arial"/>
          <w:bCs/>
        </w:rPr>
        <w:t xml:space="preserve">When the project will eliminate an existing grade crossing at which active warning devices are either in place or have been ordered to be installed by a State regulatory agency, the railroad is required </w:t>
      </w:r>
      <w:proofErr w:type="gramStart"/>
      <w:r>
        <w:rPr>
          <w:rFonts w:cs="Arial"/>
          <w:bCs/>
        </w:rPr>
        <w:t>to  pay</w:t>
      </w:r>
      <w:proofErr w:type="gramEnd"/>
      <w:r>
        <w:rPr>
          <w:rFonts w:cs="Arial"/>
          <w:bCs/>
        </w:rPr>
        <w:t xml:space="preserve"> a minimum of 5 percent of the project costs, within the limits set by 23 CFR 646.210(c).</w:t>
      </w:r>
    </w:p>
    <w:p w14:paraId="5F554277" w14:textId="77777777" w:rsidR="000D55C0" w:rsidRDefault="000D55C0" w:rsidP="000D55C0">
      <w:pPr>
        <w:numPr>
          <w:ilvl w:val="1"/>
          <w:numId w:val="46"/>
        </w:numPr>
        <w:tabs>
          <w:tab w:val="clear" w:pos="1440"/>
          <w:tab w:val="num" w:pos="1080"/>
        </w:tabs>
        <w:ind w:left="1080"/>
        <w:rPr>
          <w:rFonts w:cs="Arial"/>
          <w:bCs/>
        </w:rPr>
      </w:pPr>
      <w:r>
        <w:rPr>
          <w:rFonts w:cs="Arial"/>
          <w:bCs/>
        </w:rPr>
        <w:t>Railroads may voluntarily contribute a greater share of project costs than are required, and other parties may also voluntarily assume the railroads share of project costs.</w:t>
      </w:r>
    </w:p>
    <w:p w14:paraId="64E3BE92" w14:textId="77777777" w:rsidR="000D55C0" w:rsidRDefault="000D55C0" w:rsidP="000D55C0">
      <w:pPr>
        <w:ind w:left="360"/>
        <w:rPr>
          <w:rFonts w:cs="Arial"/>
          <w:bCs/>
        </w:rPr>
      </w:pPr>
      <w:r>
        <w:rPr>
          <w:rFonts w:cs="Arial"/>
          <w:bCs/>
        </w:rPr>
        <w:t xml:space="preserve"> </w:t>
      </w:r>
    </w:p>
    <w:p w14:paraId="1012E419" w14:textId="77777777" w:rsidR="000D55C0" w:rsidRDefault="000D55C0" w:rsidP="000D55C0">
      <w:pPr>
        <w:numPr>
          <w:ilvl w:val="0"/>
          <w:numId w:val="46"/>
        </w:numPr>
        <w:rPr>
          <w:rFonts w:cs="Arial"/>
          <w:bCs/>
        </w:rPr>
      </w:pPr>
      <w:r>
        <w:rPr>
          <w:rFonts w:cs="Arial"/>
          <w:bCs/>
        </w:rPr>
        <w:t>An itemized estimate of the cost of work to be completed by the railroad.</w:t>
      </w:r>
    </w:p>
    <w:p w14:paraId="3FC54CA1" w14:textId="77777777" w:rsidR="000D55C0" w:rsidRDefault="000D55C0" w:rsidP="000D55C0">
      <w:pPr>
        <w:rPr>
          <w:rFonts w:cs="Arial"/>
          <w:bCs/>
        </w:rPr>
      </w:pPr>
    </w:p>
    <w:p w14:paraId="0F198326" w14:textId="77777777" w:rsidR="000D55C0" w:rsidRDefault="000D55C0" w:rsidP="000D55C0">
      <w:pPr>
        <w:numPr>
          <w:ilvl w:val="0"/>
          <w:numId w:val="46"/>
        </w:numPr>
        <w:rPr>
          <w:rFonts w:cs="Arial"/>
          <w:bCs/>
        </w:rPr>
      </w:pPr>
      <w:r>
        <w:rPr>
          <w:rFonts w:cs="Arial"/>
          <w:bCs/>
        </w:rPr>
        <w:t>The method for performing railroad work.  Railroad construction may be accomplished by any of the following methods:</w:t>
      </w:r>
    </w:p>
    <w:p w14:paraId="60C9074B" w14:textId="77777777" w:rsidR="000D55C0" w:rsidRDefault="000D55C0" w:rsidP="000D55C0">
      <w:pPr>
        <w:numPr>
          <w:ilvl w:val="0"/>
          <w:numId w:val="48"/>
        </w:numPr>
        <w:tabs>
          <w:tab w:val="clear" w:pos="720"/>
          <w:tab w:val="num" w:pos="1080"/>
        </w:tabs>
        <w:ind w:left="1080"/>
        <w:rPr>
          <w:rFonts w:cs="Arial"/>
          <w:bCs/>
        </w:rPr>
      </w:pPr>
      <w:r>
        <w:rPr>
          <w:rFonts w:cs="Arial"/>
          <w:bCs/>
        </w:rPr>
        <w:t xml:space="preserve">force account (work done by railroad forces), </w:t>
      </w:r>
    </w:p>
    <w:p w14:paraId="1B29B4D2" w14:textId="77777777" w:rsidR="000D55C0" w:rsidRDefault="000D55C0" w:rsidP="000D55C0">
      <w:pPr>
        <w:numPr>
          <w:ilvl w:val="0"/>
          <w:numId w:val="48"/>
        </w:numPr>
        <w:tabs>
          <w:tab w:val="clear" w:pos="720"/>
          <w:tab w:val="num" w:pos="1080"/>
        </w:tabs>
        <w:ind w:left="1080"/>
        <w:rPr>
          <w:rFonts w:cs="Arial"/>
          <w:bCs/>
        </w:rPr>
      </w:pPr>
      <w:r>
        <w:rPr>
          <w:rFonts w:cs="Arial"/>
          <w:bCs/>
        </w:rPr>
        <w:t xml:space="preserve">a competitive contract award, </w:t>
      </w:r>
    </w:p>
    <w:p w14:paraId="2A0A9756" w14:textId="77777777" w:rsidR="000D55C0" w:rsidRDefault="000D55C0" w:rsidP="000D55C0">
      <w:pPr>
        <w:numPr>
          <w:ilvl w:val="0"/>
          <w:numId w:val="48"/>
        </w:numPr>
        <w:tabs>
          <w:tab w:val="clear" w:pos="720"/>
          <w:tab w:val="num" w:pos="1080"/>
        </w:tabs>
        <w:ind w:left="1080"/>
        <w:rPr>
          <w:rFonts w:cs="Arial"/>
          <w:bCs/>
        </w:rPr>
      </w:pPr>
      <w:r>
        <w:rPr>
          <w:rFonts w:cs="Arial"/>
          <w:bCs/>
        </w:rPr>
        <w:t>a contractor retained as part of an existing continuing railroad contract, provided the cost is reasonable, or</w:t>
      </w:r>
    </w:p>
    <w:p w14:paraId="735C76CF" w14:textId="77777777" w:rsidR="000D55C0" w:rsidRDefault="000D55C0" w:rsidP="000D55C0">
      <w:pPr>
        <w:numPr>
          <w:ilvl w:val="0"/>
          <w:numId w:val="48"/>
        </w:numPr>
        <w:tabs>
          <w:tab w:val="clear" w:pos="720"/>
          <w:tab w:val="num" w:pos="1080"/>
        </w:tabs>
        <w:ind w:left="1080"/>
        <w:rPr>
          <w:rFonts w:cs="Arial"/>
          <w:bCs/>
        </w:rPr>
      </w:pPr>
      <w:r>
        <w:rPr>
          <w:rFonts w:cs="Arial"/>
          <w:bCs/>
        </w:rPr>
        <w:t>a non-competitive contract award for minor work, provided the cost is reasonable.</w:t>
      </w:r>
    </w:p>
    <w:p w14:paraId="3D46E8B9" w14:textId="77777777" w:rsidR="000D55C0" w:rsidRDefault="000D55C0" w:rsidP="000D55C0">
      <w:pPr>
        <w:rPr>
          <w:rFonts w:cs="Arial"/>
          <w:bCs/>
        </w:rPr>
      </w:pPr>
      <w:r>
        <w:rPr>
          <w:rFonts w:cs="Arial"/>
          <w:bCs/>
        </w:rPr>
        <w:t xml:space="preserve"> </w:t>
      </w:r>
    </w:p>
    <w:p w14:paraId="645ACF0E" w14:textId="77777777" w:rsidR="000D55C0" w:rsidRDefault="000D55C0" w:rsidP="000D55C0">
      <w:pPr>
        <w:numPr>
          <w:ilvl w:val="0"/>
          <w:numId w:val="46"/>
        </w:numPr>
        <w:rPr>
          <w:rFonts w:cs="Arial"/>
          <w:bCs/>
        </w:rPr>
      </w:pPr>
      <w:r>
        <w:rPr>
          <w:rFonts w:cs="Arial"/>
          <w:bCs/>
        </w:rPr>
        <w:t>The maintenance responsibilities of each party.</w:t>
      </w:r>
    </w:p>
    <w:p w14:paraId="0AC641BA" w14:textId="77777777" w:rsidR="000D55C0" w:rsidRDefault="000D55C0" w:rsidP="000D55C0">
      <w:pPr>
        <w:rPr>
          <w:rFonts w:cs="Arial"/>
          <w:bCs/>
        </w:rPr>
      </w:pPr>
    </w:p>
    <w:p w14:paraId="72D436C9" w14:textId="77777777" w:rsidR="000D55C0" w:rsidRDefault="000D55C0" w:rsidP="000D55C0">
      <w:pPr>
        <w:numPr>
          <w:ilvl w:val="0"/>
          <w:numId w:val="46"/>
        </w:numPr>
        <w:rPr>
          <w:rFonts w:cs="Arial"/>
          <w:bCs/>
        </w:rPr>
      </w:pPr>
      <w:r>
        <w:rPr>
          <w:rFonts w:cs="Arial"/>
          <w:bCs/>
        </w:rPr>
        <w:t xml:space="preserve">The form, duration, and amounts of any needed insurance.  Such insurance shall comply with the requirements of </w:t>
      </w:r>
      <w:r w:rsidRPr="00D9220E">
        <w:rPr>
          <w:rFonts w:cs="Arial"/>
          <w:bCs/>
        </w:rPr>
        <w:t>23 CFR 646, Subpart A</w:t>
      </w:r>
      <w:r>
        <w:rPr>
          <w:rFonts w:cs="Arial"/>
          <w:bCs/>
        </w:rPr>
        <w:t>.</w:t>
      </w:r>
    </w:p>
    <w:p w14:paraId="5246C264" w14:textId="77777777" w:rsidR="000D55C0" w:rsidRDefault="000D55C0" w:rsidP="000D55C0">
      <w:pPr>
        <w:rPr>
          <w:rFonts w:cs="Arial"/>
          <w:bCs/>
        </w:rPr>
      </w:pPr>
    </w:p>
    <w:p w14:paraId="7F9C5C74" w14:textId="77777777" w:rsidR="000D55C0" w:rsidRDefault="000D55C0" w:rsidP="000D55C0">
      <w:pPr>
        <w:numPr>
          <w:ilvl w:val="0"/>
          <w:numId w:val="46"/>
        </w:numPr>
        <w:rPr>
          <w:rFonts w:cs="Arial"/>
          <w:bCs/>
        </w:rPr>
      </w:pPr>
      <w:r>
        <w:rPr>
          <w:rFonts w:cs="Arial"/>
          <w:bCs/>
        </w:rPr>
        <w:t>References to the plans and specifications that describe the proposed work.</w:t>
      </w:r>
    </w:p>
    <w:p w14:paraId="2C93BE16" w14:textId="77777777" w:rsidR="000D55C0" w:rsidRDefault="000D55C0" w:rsidP="000D55C0">
      <w:pPr>
        <w:rPr>
          <w:rFonts w:cs="Arial"/>
          <w:bCs/>
        </w:rPr>
      </w:pPr>
    </w:p>
    <w:p w14:paraId="3AF013DB" w14:textId="77777777" w:rsidR="000D55C0" w:rsidRDefault="000D55C0" w:rsidP="000D55C0">
      <w:pPr>
        <w:numPr>
          <w:ilvl w:val="0"/>
          <w:numId w:val="46"/>
        </w:numPr>
        <w:rPr>
          <w:rFonts w:cs="Arial"/>
          <w:bCs/>
        </w:rPr>
      </w:pPr>
      <w:r>
        <w:rPr>
          <w:rFonts w:cs="Arial"/>
          <w:bCs/>
        </w:rPr>
        <w:t>Provisions that specify the type of protective services (such as railroad flaggers) the railroad will provide or require the conditions under which they are required during the performance of the work, and the method of payment to the railroad for these services.</w:t>
      </w:r>
    </w:p>
    <w:p w14:paraId="27368570" w14:textId="77777777" w:rsidR="000D55C0" w:rsidRDefault="000D55C0" w:rsidP="000D55C0">
      <w:pPr>
        <w:rPr>
          <w:rFonts w:cs="Arial"/>
          <w:bCs/>
        </w:rPr>
      </w:pPr>
    </w:p>
    <w:p w14:paraId="71A9DB19" w14:textId="77777777" w:rsidR="000D55C0" w:rsidRDefault="000D55C0" w:rsidP="000D55C0">
      <w:pPr>
        <w:numPr>
          <w:ilvl w:val="0"/>
          <w:numId w:val="46"/>
        </w:numPr>
        <w:rPr>
          <w:rFonts w:cs="Arial"/>
          <w:bCs/>
        </w:rPr>
      </w:pPr>
      <w:r>
        <w:rPr>
          <w:rFonts w:cs="Arial"/>
          <w:bCs/>
        </w:rPr>
        <w:t xml:space="preserve">Provisions that address the inspection of any recovered materials.  These provisions shall allow the LPA to inspect any materials salvaged by the railroad </w:t>
      </w:r>
      <w:proofErr w:type="gramStart"/>
      <w:r>
        <w:rPr>
          <w:rFonts w:cs="Arial"/>
          <w:bCs/>
        </w:rPr>
        <w:t>in order to</w:t>
      </w:r>
      <w:proofErr w:type="gramEnd"/>
      <w:r>
        <w:rPr>
          <w:rFonts w:cs="Arial"/>
          <w:bCs/>
        </w:rPr>
        <w:t xml:space="preserve"> agree upon the credit (if any) to be applied toward the Federal participation in the cost of the railroad work, as required by </w:t>
      </w:r>
      <w:r w:rsidRPr="00D9220E">
        <w:rPr>
          <w:rFonts w:cs="Arial"/>
          <w:bCs/>
        </w:rPr>
        <w:t>23 CFR 646.216</w:t>
      </w:r>
      <w:r>
        <w:rPr>
          <w:rFonts w:cs="Arial"/>
          <w:bCs/>
        </w:rPr>
        <w:t>(c)(2).</w:t>
      </w:r>
    </w:p>
    <w:p w14:paraId="1C473DE1" w14:textId="77777777" w:rsidR="000D55C0" w:rsidRDefault="000D55C0" w:rsidP="000D55C0">
      <w:pPr>
        <w:pStyle w:val="ListParagraph"/>
        <w:rPr>
          <w:rFonts w:cs="Arial"/>
          <w:bCs/>
        </w:rPr>
      </w:pPr>
    </w:p>
    <w:p w14:paraId="741D9483" w14:textId="5AFE2129" w:rsidR="000D55C0" w:rsidRDefault="000D55C0" w:rsidP="000D55C0">
      <w:pPr>
        <w:numPr>
          <w:ilvl w:val="0"/>
          <w:numId w:val="46"/>
        </w:numPr>
        <w:rPr>
          <w:rFonts w:cs="Arial"/>
          <w:bCs/>
        </w:rPr>
      </w:pPr>
      <w:r>
        <w:rPr>
          <w:rFonts w:cs="Arial"/>
          <w:bCs/>
        </w:rPr>
        <w:lastRenderedPageBreak/>
        <w:t xml:space="preserve">Appendix A </w:t>
      </w:r>
      <w:r w:rsidR="009E0CAE">
        <w:rPr>
          <w:rFonts w:cs="Arial"/>
          <w:bCs/>
        </w:rPr>
        <w:t xml:space="preserve">and Appendix E </w:t>
      </w:r>
      <w:r>
        <w:rPr>
          <w:rFonts w:cs="Arial"/>
          <w:bCs/>
        </w:rPr>
        <w:t xml:space="preserve">of the </w:t>
      </w:r>
      <w:hyperlink r:id="rId7" w:history="1">
        <w:r w:rsidRPr="003B1869">
          <w:rPr>
            <w:rStyle w:val="Hyperlink"/>
            <w:rFonts w:cs="Arial"/>
            <w:bCs/>
          </w:rPr>
          <w:t>Standard DOT Title VI Assurances</w:t>
        </w:r>
      </w:hyperlink>
      <w:r>
        <w:rPr>
          <w:rFonts w:cs="Arial"/>
          <w:bCs/>
        </w:rPr>
        <w:t xml:space="preserve">.  This language is required whether Federal funds are used for the work covered by the railroad agreement or not.  </w:t>
      </w:r>
    </w:p>
    <w:p w14:paraId="2DD75323" w14:textId="77777777" w:rsidR="000D55C0" w:rsidRDefault="000D55C0" w:rsidP="000D55C0">
      <w:pPr>
        <w:pStyle w:val="ListParagraph"/>
        <w:rPr>
          <w:rFonts w:cs="Arial"/>
          <w:bCs/>
        </w:rPr>
      </w:pPr>
    </w:p>
    <w:p w14:paraId="389D2EC5" w14:textId="77777777" w:rsidR="000D55C0" w:rsidRPr="00E92584" w:rsidRDefault="000D55C0" w:rsidP="000D55C0">
      <w:pPr>
        <w:numPr>
          <w:ilvl w:val="0"/>
          <w:numId w:val="46"/>
        </w:numPr>
        <w:rPr>
          <w:rFonts w:cs="Arial"/>
          <w:bCs/>
        </w:rPr>
      </w:pPr>
      <w:r>
        <w:rPr>
          <w:rFonts w:cs="Arial"/>
          <w:bCs/>
        </w:rPr>
        <w:t xml:space="preserve">Buy America provisions.  If the project requires railroad work that is eligible for Federal participation, regardless of whether Federal funds are </w:t>
      </w:r>
      <w:proofErr w:type="gramStart"/>
      <w:r>
        <w:rPr>
          <w:rFonts w:cs="Arial"/>
          <w:bCs/>
        </w:rPr>
        <w:t>actually used</w:t>
      </w:r>
      <w:proofErr w:type="gramEnd"/>
      <w:r>
        <w:rPr>
          <w:rFonts w:cs="Arial"/>
          <w:bCs/>
        </w:rPr>
        <w:t xml:space="preserve"> or not, t</w:t>
      </w:r>
      <w:r>
        <w:t xml:space="preserve">he agreement shall include provisions that require the railroad to comply with the Buy America law at </w:t>
      </w:r>
      <w:r w:rsidRPr="00D9220E">
        <w:t>23 U.S.C. 313</w:t>
      </w:r>
      <w:r>
        <w:t xml:space="preserve"> and its implementing regulations at </w:t>
      </w:r>
      <w:r w:rsidRPr="00D9220E">
        <w:t>23 CFR 635.410</w:t>
      </w:r>
      <w:r>
        <w:t>.  The agreement shall also require the railroad to maintain records to support its compliance.  A sample agreement provision, where “COMPANY” is the railroad and the “AGENCY” is the LPA, is provided below:</w:t>
      </w:r>
    </w:p>
    <w:p w14:paraId="0118193B" w14:textId="77777777" w:rsidR="000D55C0" w:rsidRDefault="000D55C0" w:rsidP="000D55C0">
      <w:pPr>
        <w:pStyle w:val="ListParagraph"/>
        <w:rPr>
          <w:rFonts w:cs="Arial"/>
          <w:bCs/>
        </w:rPr>
      </w:pPr>
    </w:p>
    <w:p w14:paraId="148CA1DC" w14:textId="77777777" w:rsidR="000D55C0" w:rsidRDefault="000D55C0" w:rsidP="000D55C0">
      <w:pPr>
        <w:ind w:left="1080"/>
      </w:pPr>
      <w:r>
        <w:t>“</w:t>
      </w:r>
      <w:r w:rsidRPr="002025AB">
        <w:t xml:space="preserve">All portions of the project performed by the COMPANY shall </w:t>
      </w:r>
      <w:proofErr w:type="gramStart"/>
      <w:r w:rsidRPr="002025AB">
        <w:t>be in compliance with</w:t>
      </w:r>
      <w:proofErr w:type="gramEnd"/>
      <w:r>
        <w:t xml:space="preserve"> the </w:t>
      </w:r>
      <w:r w:rsidRPr="002025AB">
        <w:t>Buy</w:t>
      </w:r>
      <w:r>
        <w:t xml:space="preserve"> </w:t>
      </w:r>
      <w:r w:rsidRPr="002025AB">
        <w:t>America Requirements</w:t>
      </w:r>
      <w:r>
        <w:t xml:space="preserve">, as set forth in </w:t>
      </w:r>
      <w:r w:rsidRPr="002025AB">
        <w:t>23 CFR 635.410 and 23 USC 313</w:t>
      </w:r>
      <w:r>
        <w:t>,</w:t>
      </w:r>
      <w:r w:rsidRPr="002025AB">
        <w:t xml:space="preserve"> as amended by Section 1518 of P.L. 112-141. </w:t>
      </w:r>
      <w:r>
        <w:t xml:space="preserve">Before incorporating any iron or steel products into the work, the </w:t>
      </w:r>
      <w:r w:rsidRPr="002025AB">
        <w:t xml:space="preserve">COMPANY shall </w:t>
      </w:r>
      <w:r>
        <w:t>provide the AGENCY with manufacturer’s certifications indicating that all manufacturing processes for iron and steel, including the application of coatings, have occurred in the United States, unless granted a waiver pursuant to 23 CFR 635.410.”</w:t>
      </w:r>
    </w:p>
    <w:p w14:paraId="722A3BF4" w14:textId="77777777" w:rsidR="000D55C0" w:rsidRDefault="000D55C0" w:rsidP="000D55C0">
      <w:pPr>
        <w:ind w:left="1080"/>
      </w:pPr>
    </w:p>
    <w:p w14:paraId="594AEC79" w14:textId="77777777" w:rsidR="000D55C0" w:rsidRDefault="000D55C0" w:rsidP="000D55C0">
      <w:pPr>
        <w:ind w:left="720"/>
      </w:pPr>
      <w:r>
        <w:t xml:space="preserve">The Iowa DOT recommends the agreement require the railroad to use a step-certification process, whereby each corporate entity involved in the manufacturing process (from melting to fabrication) on transfer of the intermediate product, certify that its product complies with Buy America.  This process produces a “chain of custody” documentation trail that can be used to verify compliance.  </w:t>
      </w:r>
    </w:p>
    <w:p w14:paraId="2A5EC4AF" w14:textId="77777777" w:rsidR="000D55C0" w:rsidRDefault="000D55C0" w:rsidP="000D55C0">
      <w:pPr>
        <w:ind w:left="720"/>
      </w:pPr>
    </w:p>
    <w:p w14:paraId="10AC488A" w14:textId="77777777" w:rsidR="000D55C0" w:rsidRDefault="000D55C0" w:rsidP="000D55C0">
      <w:pPr>
        <w:ind w:left="720"/>
      </w:pPr>
      <w:r>
        <w:t xml:space="preserve">Regardless of the type of certification process used, the LPA shall retain the certifications provided by the railroad as part of its Federal-aid project file for which the railroad work was eligible.  These records shall be retained for at least 3 years after FHWA approval of the final amendment / modification document for the project, as described in Section 9.3 of the </w:t>
      </w:r>
      <w:hyperlink r:id="rId8" w:history="1">
        <w:r>
          <w:rPr>
            <w:rStyle w:val="Hyperlink"/>
          </w:rPr>
          <w:t>Federal-aid Project Development Guide</w:t>
        </w:r>
      </w:hyperlink>
      <w:r>
        <w:t xml:space="preserve">.  </w:t>
      </w:r>
    </w:p>
    <w:p w14:paraId="3C679D3E" w14:textId="77777777" w:rsidR="000D55C0" w:rsidRDefault="000D55C0" w:rsidP="000D55C0">
      <w:pPr>
        <w:ind w:left="720"/>
      </w:pPr>
    </w:p>
    <w:p w14:paraId="6E081575" w14:textId="77777777" w:rsidR="000D55C0" w:rsidRDefault="000D55C0" w:rsidP="000D55C0">
      <w:pPr>
        <w:ind w:left="720"/>
      </w:pPr>
      <w:r>
        <w:t xml:space="preserve">The Iowa DOT will review the LPA’s file for Buy America certifications during field reviews or during the project close-out process.  If Federal-aid reimbursement is requested for this work, the LPA shall also provide these certifications to the Iowa DOT with its reimbursement request(s). </w:t>
      </w:r>
    </w:p>
    <w:p w14:paraId="472C23B6" w14:textId="77777777" w:rsidR="000D55C0" w:rsidRDefault="000D55C0" w:rsidP="000D55C0">
      <w:pPr>
        <w:ind w:left="360"/>
      </w:pPr>
    </w:p>
    <w:p w14:paraId="0362E0DA" w14:textId="77777777" w:rsidR="000D55C0" w:rsidRDefault="000D55C0" w:rsidP="000D55C0">
      <w:pPr>
        <w:ind w:left="720"/>
        <w:rPr>
          <w:rFonts w:cs="Arial"/>
          <w:bCs/>
        </w:rPr>
      </w:pPr>
      <w:r>
        <w:t xml:space="preserve">For additional guidance concerning the Buy America requirements, refer to FHWA’s </w:t>
      </w:r>
      <w:hyperlink r:id="rId9" w:history="1">
        <w:r w:rsidRPr="00E04E20">
          <w:rPr>
            <w:rStyle w:val="Hyperlink"/>
          </w:rPr>
          <w:t>Buy America Construction Program Guide</w:t>
        </w:r>
      </w:hyperlink>
      <w:r>
        <w:t>.</w:t>
      </w:r>
    </w:p>
    <w:p w14:paraId="3587F8FB" w14:textId="77777777" w:rsidR="000D55C0" w:rsidRDefault="000D55C0"/>
    <w:sectPr w:rsidR="000D55C0">
      <w:headerReference w:type="even" r:id="rId10"/>
      <w:headerReference w:type="default" r:id="rId11"/>
      <w:footerReference w:type="even" r:id="rId12"/>
      <w:footerReference w:type="default" r:id="rId13"/>
      <w:footerReference w:type="first" r:id="rId14"/>
      <w:pgSz w:w="12240" w:h="15840" w:code="1"/>
      <w:pgMar w:top="720" w:right="1080" w:bottom="720" w:left="108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D372" w14:textId="77777777" w:rsidR="00EC298E" w:rsidRDefault="00EC298E">
      <w:r>
        <w:separator/>
      </w:r>
    </w:p>
  </w:endnote>
  <w:endnote w:type="continuationSeparator" w:id="0">
    <w:p w14:paraId="54EFE60B" w14:textId="77777777" w:rsidR="00EC298E" w:rsidRDefault="00EC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0D94" w14:textId="77777777" w:rsidR="00D4123C" w:rsidRDefault="00D4123C">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7F40" w14:textId="77777777" w:rsidR="00D4123C" w:rsidRDefault="00D4123C">
    <w:pPr>
      <w:pStyle w:val="Footer"/>
      <w:jc w:val="center"/>
      <w:rPr>
        <w:rFonts w:cs="Arial"/>
      </w:rPr>
    </w:pPr>
    <w:r>
      <w:rPr>
        <w:rFonts w:cs="Arial"/>
      </w:rPr>
      <w:t xml:space="preserve">Page </w:t>
    </w:r>
    <w:r>
      <w:rPr>
        <w:rFonts w:cs="Arial"/>
      </w:rPr>
      <w:fldChar w:fldCharType="begin"/>
    </w:r>
    <w:r>
      <w:rPr>
        <w:rFonts w:cs="Arial"/>
      </w:rPr>
      <w:instrText xml:space="preserve"> PAGE </w:instrText>
    </w:r>
    <w:r>
      <w:rPr>
        <w:rFonts w:cs="Arial"/>
      </w:rPr>
      <w:fldChar w:fldCharType="separate"/>
    </w:r>
    <w:r w:rsidR="00CF6A91">
      <w:rPr>
        <w:rFonts w:cs="Arial"/>
        <w:noProof/>
      </w:rPr>
      <w:t>1</w:t>
    </w:r>
    <w:r>
      <w:rPr>
        <w:rFonts w:cs="Arial"/>
      </w:rPr>
      <w:fldChar w:fldCharType="end"/>
    </w:r>
    <w:r>
      <w:rPr>
        <w:rFonts w:cs="Arial"/>
      </w:rPr>
      <w:t xml:space="preserve"> of </w:t>
    </w:r>
    <w:r>
      <w:rPr>
        <w:rFonts w:cs="Arial"/>
      </w:rPr>
      <w:fldChar w:fldCharType="begin"/>
    </w:r>
    <w:r>
      <w:rPr>
        <w:rFonts w:cs="Arial"/>
      </w:rPr>
      <w:instrText xml:space="preserve"> NUMPAGES </w:instrText>
    </w:r>
    <w:r>
      <w:rPr>
        <w:rFonts w:cs="Arial"/>
      </w:rPr>
      <w:fldChar w:fldCharType="separate"/>
    </w:r>
    <w:r w:rsidR="00CF6A91">
      <w:rPr>
        <w:rFonts w:cs="Arial"/>
        <w:noProof/>
      </w:rPr>
      <w:t>1</w:t>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686A" w14:textId="77777777" w:rsidR="00D4123C" w:rsidRDefault="00D4123C">
    <w:pPr>
      <w:pStyle w:val="Footer"/>
      <w:jc w:val="center"/>
      <w:rPr>
        <w:rFonts w:cs="Arial"/>
      </w:rPr>
    </w:pPr>
    <w:r>
      <w:rPr>
        <w:rFonts w:cs="Arial"/>
      </w:rPr>
      <w:t xml:space="preserve">Page </w:t>
    </w:r>
    <w:r>
      <w:rPr>
        <w:rFonts w:cs="Arial"/>
      </w:rPr>
      <w:fldChar w:fldCharType="begin"/>
    </w:r>
    <w:r>
      <w:rPr>
        <w:rFonts w:cs="Arial"/>
      </w:rPr>
      <w:instrText xml:space="preserve"> PAGE </w:instrText>
    </w:r>
    <w:r>
      <w:rPr>
        <w:rFonts w:cs="Arial"/>
      </w:rPr>
      <w:fldChar w:fldCharType="separate"/>
    </w:r>
    <w:r>
      <w:rPr>
        <w:rFonts w:cs="Arial"/>
        <w:noProof/>
      </w:rPr>
      <w:t>1</w:t>
    </w:r>
    <w:r>
      <w:rPr>
        <w:rFonts w:cs="Arial"/>
      </w:rPr>
      <w:fldChar w:fldCharType="end"/>
    </w:r>
    <w:r>
      <w:rPr>
        <w:rFonts w:cs="Arial"/>
      </w:rPr>
      <w:t xml:space="preserve"> of </w:t>
    </w:r>
    <w:r>
      <w:rPr>
        <w:rFonts w:cs="Arial"/>
      </w:rPr>
      <w:fldChar w:fldCharType="begin"/>
    </w:r>
    <w:r>
      <w:rPr>
        <w:rFonts w:cs="Arial"/>
      </w:rPr>
      <w:instrText xml:space="preserve"> NUMPAGES </w:instrText>
    </w:r>
    <w:r>
      <w:rPr>
        <w:rFonts w:cs="Arial"/>
      </w:rPr>
      <w:fldChar w:fldCharType="separate"/>
    </w:r>
    <w:r>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829B" w14:textId="77777777" w:rsidR="00EC298E" w:rsidRDefault="00EC298E">
      <w:r>
        <w:separator/>
      </w:r>
    </w:p>
  </w:footnote>
  <w:footnote w:type="continuationSeparator" w:id="0">
    <w:p w14:paraId="4DA79600" w14:textId="77777777" w:rsidR="00EC298E" w:rsidRDefault="00EC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9A68" w14:textId="77777777" w:rsidR="00D4123C" w:rsidRDefault="00D4123C">
    <w:pPr>
      <w:pStyle w:val="Header"/>
    </w:pPr>
    <w:r>
      <w:t>October 2001</w:t>
    </w:r>
  </w:p>
  <w:p w14:paraId="47F83124" w14:textId="77777777" w:rsidR="00D4123C" w:rsidRDefault="00D4123C">
    <w:pPr>
      <w:pStyle w:val="Header"/>
    </w:pPr>
    <w:r>
      <w:t>I.M. 3.216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04D7" w14:textId="3262CCB1" w:rsidR="00D4123C" w:rsidRDefault="00D4123C">
    <w:pPr>
      <w:pStyle w:val="Header"/>
      <w:tabs>
        <w:tab w:val="clear" w:pos="8640"/>
        <w:tab w:val="right" w:pos="9360"/>
      </w:tabs>
      <w:jc w:val="right"/>
      <w:rPr>
        <w:rFonts w:cs="Arial"/>
      </w:rPr>
    </w:pPr>
    <w:r>
      <w:rPr>
        <w:rFonts w:cs="Arial"/>
      </w:rPr>
      <w:t xml:space="preserve">Attachment </w:t>
    </w:r>
    <w:r w:rsidR="000D55C0">
      <w:rPr>
        <w:rFonts w:cs="Arial"/>
      </w:rPr>
      <w:t xml:space="preserve">A </w:t>
    </w:r>
    <w:r>
      <w:rPr>
        <w:rFonts w:cs="Arial"/>
      </w:rPr>
      <w:t xml:space="preserve">to I.M. </w:t>
    </w:r>
    <w:r w:rsidR="000D55C0">
      <w:rPr>
        <w:rFonts w:cs="Arial"/>
      </w:rPr>
      <w:t>3.680</w:t>
    </w:r>
  </w:p>
  <w:p w14:paraId="60A18FAF" w14:textId="5330AD89" w:rsidR="00D4123C" w:rsidRDefault="009E0CAE">
    <w:pPr>
      <w:pStyle w:val="Header"/>
      <w:tabs>
        <w:tab w:val="clear" w:pos="8640"/>
        <w:tab w:val="right" w:pos="9360"/>
      </w:tabs>
      <w:jc w:val="right"/>
      <w:rPr>
        <w:rFonts w:cs="Arial"/>
      </w:rPr>
    </w:pPr>
    <w:r>
      <w:rPr>
        <w:rFonts w:cs="Arial"/>
      </w:rPr>
      <w:t xml:space="preserve">March </w:t>
    </w:r>
    <w:r w:rsidR="006E68D7">
      <w:rPr>
        <w:rFonts w:cs="Arial"/>
      </w:rPr>
      <w:t>15</w:t>
    </w:r>
    <w:r>
      <w:rPr>
        <w:rFonts w:cs="Arial"/>
      </w:rPr>
      <w:t xml:space="preserve">, </w:t>
    </w:r>
    <w:r w:rsidR="000D55C0">
      <w:rPr>
        <w:rFonts w:cs="Arial"/>
      </w:rPr>
      <w:t>2023</w:t>
    </w:r>
  </w:p>
  <w:p w14:paraId="311215DA" w14:textId="77777777" w:rsidR="00D4123C" w:rsidRDefault="00D4123C">
    <w:pPr>
      <w:pStyle w:val="Header"/>
      <w:tabs>
        <w:tab w:val="clear" w:pos="8640"/>
        <w:tab w:val="right" w:pos="9360"/>
      </w:tabs>
      <w:jc w:val="right"/>
    </w:pPr>
    <w:r>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60BF82"/>
    <w:multiLevelType w:val="hybridMultilevel"/>
    <w:tmpl w:val="CB6F29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D263CA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20907E0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79426B6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883261E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55CAA61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478940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A0A769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ECCFDC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2A825C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624850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D15924"/>
    <w:multiLevelType w:val="hybridMultilevel"/>
    <w:tmpl w:val="0976723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6D3E2A"/>
    <w:multiLevelType w:val="hybridMultilevel"/>
    <w:tmpl w:val="09767230"/>
    <w:lvl w:ilvl="0" w:tplc="9026644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E53DAA"/>
    <w:multiLevelType w:val="hybridMultilevel"/>
    <w:tmpl w:val="BF8AA86C"/>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066E55AD"/>
    <w:multiLevelType w:val="singleLevel"/>
    <w:tmpl w:val="11A0A68E"/>
    <w:lvl w:ilvl="0">
      <w:start w:val="1"/>
      <w:numFmt w:val="decimal"/>
      <w:lvlText w:val="%1."/>
      <w:lvlJc w:val="left"/>
      <w:pPr>
        <w:tabs>
          <w:tab w:val="num" w:pos="1161"/>
        </w:tabs>
        <w:ind w:left="1161" w:hanging="585"/>
      </w:pPr>
      <w:rPr>
        <w:rFonts w:hint="default"/>
      </w:rPr>
    </w:lvl>
  </w:abstractNum>
  <w:abstractNum w:abstractNumId="15" w15:restartNumberingAfterBreak="0">
    <w:nsid w:val="07700DBC"/>
    <w:multiLevelType w:val="hybridMultilevel"/>
    <w:tmpl w:val="24A4FE40"/>
    <w:lvl w:ilvl="0" w:tplc="FFFFFFFF">
      <w:start w:val="1"/>
      <w:numFmt w:val="lowerLetter"/>
      <w:lvlText w:val="(%1)"/>
      <w:lvlJc w:val="left"/>
      <w:pPr>
        <w:tabs>
          <w:tab w:val="num" w:pos="780"/>
        </w:tabs>
        <w:ind w:left="780" w:hanging="39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16" w15:restartNumberingAfterBreak="0">
    <w:nsid w:val="0AD704FD"/>
    <w:multiLevelType w:val="hybridMultilevel"/>
    <w:tmpl w:val="5C464842"/>
    <w:lvl w:ilvl="0" w:tplc="483C8AC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E92520"/>
    <w:multiLevelType w:val="hybridMultilevel"/>
    <w:tmpl w:val="C7188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0B074A"/>
    <w:multiLevelType w:val="hybridMultilevel"/>
    <w:tmpl w:val="9490FB92"/>
    <w:lvl w:ilvl="0" w:tplc="FFFFFFFF">
      <w:start w:val="4"/>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DEF1A31"/>
    <w:multiLevelType w:val="hybridMultilevel"/>
    <w:tmpl w:val="0846E0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3A21C6"/>
    <w:multiLevelType w:val="hybridMultilevel"/>
    <w:tmpl w:val="E182D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1812A6"/>
    <w:multiLevelType w:val="hybridMultilevel"/>
    <w:tmpl w:val="E73A4B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38C63BA"/>
    <w:multiLevelType w:val="hybridMultilevel"/>
    <w:tmpl w:val="360A6D8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F35FBB"/>
    <w:multiLevelType w:val="singleLevel"/>
    <w:tmpl w:val="C6181944"/>
    <w:lvl w:ilvl="0">
      <w:start w:val="1"/>
      <w:numFmt w:val="decimal"/>
      <w:lvlText w:val="%1."/>
      <w:lvlJc w:val="left"/>
      <w:pPr>
        <w:tabs>
          <w:tab w:val="num" w:pos="720"/>
        </w:tabs>
        <w:ind w:left="720" w:hanging="720"/>
      </w:pPr>
      <w:rPr>
        <w:rFonts w:hint="default"/>
      </w:rPr>
    </w:lvl>
  </w:abstractNum>
  <w:abstractNum w:abstractNumId="24" w15:restartNumberingAfterBreak="0">
    <w:nsid w:val="2ABE7C85"/>
    <w:multiLevelType w:val="hybridMultilevel"/>
    <w:tmpl w:val="82DE288A"/>
    <w:lvl w:ilvl="0" w:tplc="FFFFFFFF">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DBB16E1"/>
    <w:multiLevelType w:val="hybridMultilevel"/>
    <w:tmpl w:val="E95C12AA"/>
    <w:lvl w:ilvl="0" w:tplc="04090001">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6" w15:restartNumberingAfterBreak="0">
    <w:nsid w:val="2F062678"/>
    <w:multiLevelType w:val="hybridMultilevel"/>
    <w:tmpl w:val="9926D77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30AE4729"/>
    <w:multiLevelType w:val="hybridMultilevel"/>
    <w:tmpl w:val="0976723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8A07B9"/>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3745050E"/>
    <w:multiLevelType w:val="hybridMultilevel"/>
    <w:tmpl w:val="5C46484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615B82"/>
    <w:multiLevelType w:val="hybridMultilevel"/>
    <w:tmpl w:val="5DFCFC9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4813F8"/>
    <w:multiLevelType w:val="hybridMultilevel"/>
    <w:tmpl w:val="C8D66C94"/>
    <w:lvl w:ilvl="0" w:tplc="FFFFFFFF">
      <w:start w:val="1"/>
      <w:numFmt w:val="lowerLetter"/>
      <w:lvlText w:val="%1."/>
      <w:lvlJc w:val="left"/>
      <w:pPr>
        <w:tabs>
          <w:tab w:val="num" w:pos="810"/>
        </w:tabs>
        <w:ind w:left="81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B5845B9"/>
    <w:multiLevelType w:val="hybridMultilevel"/>
    <w:tmpl w:val="55CE2376"/>
    <w:lvl w:ilvl="0" w:tplc="FFFFFFFF">
      <w:start w:val="4"/>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D7951E4"/>
    <w:multiLevelType w:val="hybridMultilevel"/>
    <w:tmpl w:val="9E14005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385A57"/>
    <w:multiLevelType w:val="hybridMultilevel"/>
    <w:tmpl w:val="A42CA024"/>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82C4E73"/>
    <w:multiLevelType w:val="hybridMultilevel"/>
    <w:tmpl w:val="891A5530"/>
    <w:lvl w:ilvl="0" w:tplc="FFFFFFFF">
      <w:start w:val="1"/>
      <w:numFmt w:val="lowerLetter"/>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86329D1"/>
    <w:multiLevelType w:val="singleLevel"/>
    <w:tmpl w:val="C7C0B1F6"/>
    <w:lvl w:ilvl="0">
      <w:start w:val="1"/>
      <w:numFmt w:val="decimal"/>
      <w:lvlText w:val="%1."/>
      <w:lvlJc w:val="left"/>
      <w:pPr>
        <w:tabs>
          <w:tab w:val="num" w:pos="1434"/>
        </w:tabs>
        <w:ind w:left="1434" w:hanging="570"/>
      </w:pPr>
      <w:rPr>
        <w:rFonts w:hint="default"/>
      </w:rPr>
    </w:lvl>
  </w:abstractNum>
  <w:abstractNum w:abstractNumId="37" w15:restartNumberingAfterBreak="0">
    <w:nsid w:val="58905C19"/>
    <w:multiLevelType w:val="hybridMultilevel"/>
    <w:tmpl w:val="98E04BD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F6B4527"/>
    <w:multiLevelType w:val="hybridMultilevel"/>
    <w:tmpl w:val="CA1E96E2"/>
    <w:lvl w:ilvl="0" w:tplc="7E7CC2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8A4B07"/>
    <w:multiLevelType w:val="hybridMultilevel"/>
    <w:tmpl w:val="D61CB098"/>
    <w:lvl w:ilvl="0" w:tplc="FFFFFFFF">
      <w:start w:val="4"/>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EED3F6D"/>
    <w:multiLevelType w:val="hybridMultilevel"/>
    <w:tmpl w:val="D226B42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1E06897"/>
    <w:multiLevelType w:val="hybridMultilevel"/>
    <w:tmpl w:val="51AC8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0A2FC5"/>
    <w:multiLevelType w:val="hybridMultilevel"/>
    <w:tmpl w:val="0976723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9560F7"/>
    <w:multiLevelType w:val="hybridMultilevel"/>
    <w:tmpl w:val="096A935C"/>
    <w:lvl w:ilvl="0" w:tplc="FFFFFFFF">
      <w:start w:val="4"/>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B5373D6"/>
    <w:multiLevelType w:val="hybridMultilevel"/>
    <w:tmpl w:val="041CF89A"/>
    <w:lvl w:ilvl="0" w:tplc="FFFFFFFF">
      <w:start w:val="1"/>
      <w:numFmt w:val="lowerLetter"/>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743C24"/>
    <w:multiLevelType w:val="hybridMultilevel"/>
    <w:tmpl w:val="44248276"/>
    <w:lvl w:ilvl="0" w:tplc="FFFFFFFF">
      <w:start w:val="3"/>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7D767683"/>
    <w:multiLevelType w:val="hybridMultilevel"/>
    <w:tmpl w:val="C2105EAE"/>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7" w15:restartNumberingAfterBreak="0">
    <w:nsid w:val="7EDE60D2"/>
    <w:multiLevelType w:val="hybridMultilevel"/>
    <w:tmpl w:val="37CE2650"/>
    <w:lvl w:ilvl="0" w:tplc="52A4B618">
      <w:start w:val="5"/>
      <w:numFmt w:val="decimal"/>
      <w:lvlText w:val="(%1)"/>
      <w:lvlJc w:val="left"/>
      <w:pPr>
        <w:tabs>
          <w:tab w:val="num" w:pos="1110"/>
        </w:tabs>
        <w:ind w:left="1110" w:hanging="75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4"/>
  </w:num>
  <w:num w:numId="3">
    <w:abstractNumId w:val="36"/>
  </w:num>
  <w:num w:numId="4">
    <w:abstractNumId w:val="47"/>
  </w:num>
  <w:num w:numId="5">
    <w:abstractNumId w:val="23"/>
  </w:num>
  <w:num w:numId="6">
    <w:abstractNumId w:val="38"/>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44"/>
  </w:num>
  <w:num w:numId="18">
    <w:abstractNumId w:val="37"/>
  </w:num>
  <w:num w:numId="19">
    <w:abstractNumId w:val="31"/>
  </w:num>
  <w:num w:numId="20">
    <w:abstractNumId w:val="40"/>
  </w:num>
  <w:num w:numId="21">
    <w:abstractNumId w:val="21"/>
  </w:num>
  <w:num w:numId="22">
    <w:abstractNumId w:val="35"/>
  </w:num>
  <w:num w:numId="23">
    <w:abstractNumId w:val="13"/>
  </w:num>
  <w:num w:numId="24">
    <w:abstractNumId w:val="43"/>
  </w:num>
  <w:num w:numId="25">
    <w:abstractNumId w:val="32"/>
  </w:num>
  <w:num w:numId="26">
    <w:abstractNumId w:val="39"/>
  </w:num>
  <w:num w:numId="27">
    <w:abstractNumId w:val="18"/>
  </w:num>
  <w:num w:numId="28">
    <w:abstractNumId w:val="34"/>
  </w:num>
  <w:num w:numId="29">
    <w:abstractNumId w:val="45"/>
  </w:num>
  <w:num w:numId="30">
    <w:abstractNumId w:val="26"/>
  </w:num>
  <w:num w:numId="31">
    <w:abstractNumId w:val="15"/>
  </w:num>
  <w:num w:numId="32">
    <w:abstractNumId w:val="41"/>
  </w:num>
  <w:num w:numId="33">
    <w:abstractNumId w:val="16"/>
  </w:num>
  <w:num w:numId="34">
    <w:abstractNumId w:val="29"/>
  </w:num>
  <w:num w:numId="35">
    <w:abstractNumId w:val="19"/>
  </w:num>
  <w:num w:numId="36">
    <w:abstractNumId w:val="12"/>
  </w:num>
  <w:num w:numId="37">
    <w:abstractNumId w:val="25"/>
  </w:num>
  <w:num w:numId="38">
    <w:abstractNumId w:val="11"/>
  </w:num>
  <w:num w:numId="39">
    <w:abstractNumId w:val="42"/>
  </w:num>
  <w:num w:numId="40">
    <w:abstractNumId w:val="27"/>
  </w:num>
  <w:num w:numId="41">
    <w:abstractNumId w:val="24"/>
  </w:num>
  <w:num w:numId="42">
    <w:abstractNumId w:val="22"/>
  </w:num>
  <w:num w:numId="43">
    <w:abstractNumId w:val="33"/>
  </w:num>
  <w:num w:numId="44">
    <w:abstractNumId w:val="0"/>
  </w:num>
  <w:num w:numId="45">
    <w:abstractNumId w:val="46"/>
  </w:num>
  <w:num w:numId="46">
    <w:abstractNumId w:val="30"/>
  </w:num>
  <w:num w:numId="47">
    <w:abstractNumId w:val="2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73F"/>
    <w:rsid w:val="000D55C0"/>
    <w:rsid w:val="002A073F"/>
    <w:rsid w:val="0032384D"/>
    <w:rsid w:val="003E797A"/>
    <w:rsid w:val="006E68D7"/>
    <w:rsid w:val="007D3C86"/>
    <w:rsid w:val="009E0CAE"/>
    <w:rsid w:val="00A2236F"/>
    <w:rsid w:val="00B96273"/>
    <w:rsid w:val="00CF6A91"/>
    <w:rsid w:val="00D4123C"/>
    <w:rsid w:val="00D85071"/>
    <w:rsid w:val="00E046AC"/>
    <w:rsid w:val="00E44D73"/>
    <w:rsid w:val="00EC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5ECFD5D"/>
  <w15:chartTrackingRefBased/>
  <w15:docId w15:val="{24E66419-A22B-4B79-8876-B593D468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spacing w:line="240" w:lineRule="atLeast"/>
      <w:outlineLvl w:val="2"/>
    </w:pPr>
    <w:rPr>
      <w:sz w:val="24"/>
    </w:rPr>
  </w:style>
  <w:style w:type="paragraph" w:styleId="Heading4">
    <w:name w:val="heading 4"/>
    <w:basedOn w:val="Normal"/>
    <w:next w:val="Normal"/>
    <w:qFormat/>
    <w:pPr>
      <w:keepNext/>
      <w:tabs>
        <w:tab w:val="left" w:pos="0"/>
        <w:tab w:val="left" w:pos="6336"/>
        <w:tab w:val="left" w:pos="6480"/>
        <w:tab w:val="left" w:pos="7200"/>
      </w:tabs>
      <w:ind w:left="1980" w:hanging="1980"/>
      <w:outlineLvl w:val="3"/>
    </w:pPr>
    <w:rPr>
      <w:sz w:val="24"/>
    </w:rPr>
  </w:style>
  <w:style w:type="paragraph" w:styleId="Heading5">
    <w:name w:val="heading 5"/>
    <w:basedOn w:val="Normal"/>
    <w:next w:val="Normal"/>
    <w:qFormat/>
    <w:pPr>
      <w:keepNext/>
      <w:jc w:val="center"/>
      <w:outlineLvl w:val="4"/>
    </w:pPr>
    <w:rPr>
      <w:sz w:val="24"/>
    </w:rPr>
  </w:style>
  <w:style w:type="paragraph" w:styleId="Heading6">
    <w:name w:val="heading 6"/>
    <w:basedOn w:val="Normal"/>
    <w:next w:val="Normal"/>
    <w:qFormat/>
    <w:pPr>
      <w:keepNext/>
      <w:tabs>
        <w:tab w:val="left" w:pos="0"/>
        <w:tab w:val="left" w:pos="6336"/>
        <w:tab w:val="left" w:pos="6480"/>
        <w:tab w:val="left" w:pos="7200"/>
      </w:tabs>
      <w:ind w:left="360"/>
      <w:jc w:val="center"/>
      <w:outlineLvl w:val="5"/>
    </w:pPr>
    <w:rPr>
      <w:sz w:val="24"/>
    </w:rPr>
  </w:style>
  <w:style w:type="paragraph" w:styleId="Heading7">
    <w:name w:val="heading 7"/>
    <w:basedOn w:val="Normal"/>
    <w:next w:val="Normal"/>
    <w:qFormat/>
    <w:pPr>
      <w:keepNext/>
      <w:tabs>
        <w:tab w:val="left" w:pos="360"/>
        <w:tab w:val="left" w:pos="3330"/>
      </w:tabs>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40"/>
    </w:pPr>
    <w:rPr>
      <w:sz w:val="24"/>
    </w:rPr>
  </w:style>
  <w:style w:type="paragraph" w:styleId="BodyTextIndent2">
    <w:name w:val="Body Text Indent 2"/>
    <w:basedOn w:val="Normal"/>
    <w:pPr>
      <w:spacing w:line="240" w:lineRule="atLeast"/>
      <w:ind w:left="720"/>
    </w:pPr>
    <w:rPr>
      <w:sz w:val="24"/>
    </w:rPr>
  </w:style>
  <w:style w:type="paragraph" w:styleId="BodyText">
    <w:name w:val="Body Text"/>
    <w:basedOn w:val="Normal"/>
    <w:pPr>
      <w:spacing w:line="240" w:lineRule="atLeast"/>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720" w:hanging="720"/>
      <w:jc w:val="both"/>
    </w:pPr>
    <w:rPr>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pPr>
      <w:tabs>
        <w:tab w:val="left" w:pos="720"/>
        <w:tab w:val="left" w:pos="5040"/>
      </w:tabs>
    </w:pPr>
    <w:rPr>
      <w:sz w:val="24"/>
    </w:rPr>
  </w:style>
  <w:style w:type="paragraph" w:styleId="ListBullet">
    <w:name w:val="List Bullet"/>
    <w:basedOn w:val="Normal"/>
    <w:autoRedefine/>
    <w:pPr>
      <w:widowControl w:val="0"/>
      <w:numPr>
        <w:numId w:val="7"/>
      </w:numPr>
    </w:pPr>
    <w:rPr>
      <w:snapToGrid w:val="0"/>
      <w:sz w:val="24"/>
    </w:rPr>
  </w:style>
  <w:style w:type="paragraph" w:styleId="ListBullet2">
    <w:name w:val="List Bullet 2"/>
    <w:basedOn w:val="Normal"/>
    <w:autoRedefine/>
    <w:pPr>
      <w:widowControl w:val="0"/>
      <w:numPr>
        <w:numId w:val="8"/>
      </w:numPr>
    </w:pPr>
    <w:rPr>
      <w:snapToGrid w:val="0"/>
      <w:sz w:val="24"/>
    </w:rPr>
  </w:style>
  <w:style w:type="paragraph" w:styleId="ListBullet3">
    <w:name w:val="List Bullet 3"/>
    <w:basedOn w:val="Normal"/>
    <w:autoRedefine/>
    <w:pPr>
      <w:widowControl w:val="0"/>
      <w:numPr>
        <w:numId w:val="9"/>
      </w:numPr>
    </w:pPr>
    <w:rPr>
      <w:snapToGrid w:val="0"/>
      <w:sz w:val="24"/>
    </w:rPr>
  </w:style>
  <w:style w:type="paragraph" w:styleId="ListBullet4">
    <w:name w:val="List Bullet 4"/>
    <w:basedOn w:val="Normal"/>
    <w:autoRedefine/>
    <w:pPr>
      <w:widowControl w:val="0"/>
      <w:numPr>
        <w:numId w:val="10"/>
      </w:numPr>
    </w:pPr>
    <w:rPr>
      <w:snapToGrid w:val="0"/>
      <w:sz w:val="24"/>
    </w:rPr>
  </w:style>
  <w:style w:type="paragraph" w:styleId="ListBullet5">
    <w:name w:val="List Bullet 5"/>
    <w:basedOn w:val="Normal"/>
    <w:autoRedefine/>
    <w:pPr>
      <w:widowControl w:val="0"/>
      <w:numPr>
        <w:numId w:val="11"/>
      </w:numPr>
    </w:pPr>
    <w:rPr>
      <w:snapToGrid w:val="0"/>
      <w:sz w:val="24"/>
    </w:rPr>
  </w:style>
  <w:style w:type="paragraph" w:styleId="ListNumber">
    <w:name w:val="List Number"/>
    <w:basedOn w:val="Normal"/>
    <w:pPr>
      <w:widowControl w:val="0"/>
      <w:numPr>
        <w:numId w:val="12"/>
      </w:numPr>
    </w:pPr>
    <w:rPr>
      <w:snapToGrid w:val="0"/>
      <w:sz w:val="24"/>
    </w:rPr>
  </w:style>
  <w:style w:type="paragraph" w:styleId="ListNumber2">
    <w:name w:val="List Number 2"/>
    <w:basedOn w:val="Normal"/>
    <w:pPr>
      <w:widowControl w:val="0"/>
      <w:numPr>
        <w:numId w:val="13"/>
      </w:numPr>
    </w:pPr>
    <w:rPr>
      <w:snapToGrid w:val="0"/>
      <w:sz w:val="24"/>
    </w:rPr>
  </w:style>
  <w:style w:type="paragraph" w:styleId="ListNumber3">
    <w:name w:val="List Number 3"/>
    <w:basedOn w:val="Normal"/>
    <w:pPr>
      <w:widowControl w:val="0"/>
      <w:numPr>
        <w:numId w:val="14"/>
      </w:numPr>
    </w:pPr>
    <w:rPr>
      <w:snapToGrid w:val="0"/>
      <w:sz w:val="24"/>
    </w:rPr>
  </w:style>
  <w:style w:type="paragraph" w:styleId="ListNumber4">
    <w:name w:val="List Number 4"/>
    <w:basedOn w:val="Normal"/>
    <w:pPr>
      <w:widowControl w:val="0"/>
      <w:numPr>
        <w:numId w:val="15"/>
      </w:numPr>
    </w:pPr>
    <w:rPr>
      <w:snapToGrid w:val="0"/>
      <w:sz w:val="24"/>
    </w:rPr>
  </w:style>
  <w:style w:type="paragraph" w:styleId="ListNumber5">
    <w:name w:val="List Number 5"/>
    <w:basedOn w:val="Normal"/>
    <w:pPr>
      <w:widowControl w:val="0"/>
      <w:numPr>
        <w:numId w:val="16"/>
      </w:numPr>
    </w:pPr>
    <w:rPr>
      <w:snapToGrid w:val="0"/>
      <w:sz w:val="24"/>
    </w:rPr>
  </w:style>
  <w:style w:type="paragraph" w:styleId="Title">
    <w:name w:val="Title"/>
    <w:basedOn w:val="Normal"/>
    <w:qFormat/>
    <w:pPr>
      <w:jc w:val="center"/>
    </w:pPr>
    <w:rPr>
      <w:rFonts w:cs="Arial"/>
      <w:b/>
      <w:bCs/>
      <w:sz w:val="24"/>
      <w:szCs w:val="24"/>
    </w:rPr>
  </w:style>
  <w:style w:type="character" w:styleId="CommentReference">
    <w:name w:val="annotation reference"/>
    <w:rsid w:val="000D55C0"/>
    <w:rPr>
      <w:sz w:val="16"/>
      <w:szCs w:val="16"/>
    </w:rPr>
  </w:style>
  <w:style w:type="paragraph" w:styleId="CommentText">
    <w:name w:val="annotation text"/>
    <w:basedOn w:val="Normal"/>
    <w:link w:val="CommentTextChar"/>
    <w:rsid w:val="000D55C0"/>
  </w:style>
  <w:style w:type="character" w:customStyle="1" w:styleId="CommentTextChar">
    <w:name w:val="Comment Text Char"/>
    <w:basedOn w:val="DefaultParagraphFont"/>
    <w:link w:val="CommentText"/>
    <w:rsid w:val="000D55C0"/>
    <w:rPr>
      <w:rFonts w:ascii="Arial" w:hAnsi="Arial"/>
    </w:rPr>
  </w:style>
  <w:style w:type="paragraph" w:styleId="ListParagraph">
    <w:name w:val="List Paragraph"/>
    <w:basedOn w:val="Normal"/>
    <w:uiPriority w:val="34"/>
    <w:qFormat/>
    <w:rsid w:val="000D55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owadot.gov/local_systems/publications/im/guid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owadot.seamlessdocs.com/f/StandardDOTTitleVIAssurance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hwa.dot.gov/construction/cqit/buyam.cf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ordat\IM\IM%203.2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IM 3.216.dot</Template>
  <TotalTime>1</TotalTime>
  <Pages>2</Pages>
  <Words>977</Words>
  <Characters>5311</Characters>
  <Application>Microsoft Office Word</Application>
  <DocSecurity>0</DocSecurity>
  <Lines>104</Lines>
  <Paragraphs>40</Paragraphs>
  <ScaleCrop>false</ScaleCrop>
  <HeadingPairs>
    <vt:vector size="2" baseType="variant">
      <vt:variant>
        <vt:lpstr>Title</vt:lpstr>
      </vt:variant>
      <vt:variant>
        <vt:i4>1</vt:i4>
      </vt:variant>
    </vt:vector>
  </HeadingPairs>
  <TitlesOfParts>
    <vt:vector size="1" baseType="lpstr">
      <vt:lpstr>Attachment X to I.M. X.XXX</vt:lpstr>
    </vt:vector>
  </TitlesOfParts>
  <Manager/>
  <Company>Iowa Department of Transportation</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to I.M. 3.680</dc:title>
  <dc:subject/>
  <dc:creator>Office of Local Systems</dc:creator>
  <cp:keywords/>
  <cp:lastModifiedBy>Moore, Nicole</cp:lastModifiedBy>
  <cp:revision>3</cp:revision>
  <cp:lastPrinted>2023-03-12T20:10:00Z</cp:lastPrinted>
  <dcterms:created xsi:type="dcterms:W3CDTF">2023-03-12T20:11:00Z</dcterms:created>
  <dcterms:modified xsi:type="dcterms:W3CDTF">2023-03-12T20:12:00Z</dcterms:modified>
</cp:coreProperties>
</file>